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6B467C44" w14:paraId="375C290F" wp14:textId="77777777">
      <w:pPr>
        <w:pStyle w:val="Body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</w:pPr>
      <w:r w:rsidR="6B467C44">
        <w:rPr>
          <w:rFonts w:ascii="Arial" w:hAnsi="Arial" w:cs="Arial Unicode MS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2EB378F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3C4F23E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i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xmlns:wp14="http://schemas.microsoft.com/office/word/2010/wordml" w14:paraId="1DD52162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 xmlns:wp14="http://schemas.microsoft.com/office/word/2010/wordml" w14:paraId="5A39BBE3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C8F396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2A3D3EC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68C5D34D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1F0A29D0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0" w:line="100" w:lineRule="atLeast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II</w:t>
            </w:r>
          </w:p>
        </w:tc>
      </w:tr>
      <w:tr xmlns:wp14="http://schemas.microsoft.com/office/word/2010/wordml" w14:paraId="78A427A9" wp14:textId="77777777">
        <w:trPr>
          <w:trHeight w:val="275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00927DD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60" w:after="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en-US" w:eastAsia="pl-PL" w:bidi="ar-SA"/>
              </w:rPr>
              <w:t xml:space="preserve">Specialist </w:t>
            </w:r>
            <w:r>
              <w:rPr>
                <w:rFonts w:ascii="Arial" w:hAnsi="Arial" w:eastAsia="Arial Unicode MS"/>
                <w:i/>
                <w:iCs/>
                <w:color w:val="00000A"/>
                <w:kern w:val="0"/>
                <w:sz w:val="24"/>
                <w:szCs w:val="24"/>
                <w:u w:val="none" w:color="00000A"/>
                <w:lang w:val="pl-PL" w:eastAsia="pl-PL" w:bidi="ar-SA"/>
              </w:rPr>
              <w:t>T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de-DE" w:eastAsia="pl-PL" w:bidi="ar-SA"/>
              </w:rPr>
              <w:t xml:space="preserve">ranslation 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II</w:t>
            </w:r>
          </w:p>
        </w:tc>
      </w:tr>
    </w:tbl>
    <w:p xmlns:wp14="http://schemas.microsoft.com/office/word/2010/wordml" w14:paraId="0D0B940D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E27B00A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4"/>
        <w:gridCol w:w="3195"/>
        <w:gridCol w:w="3266"/>
      </w:tblGrid>
      <w:tr xmlns:wp14="http://schemas.microsoft.com/office/word/2010/wordml" w:rsidTr="2B6074C1" w14:paraId="0EB3491A" wp14:textId="77777777">
        <w:trPr>
          <w:trHeight w:val="216" w:hRule="atLeast"/>
        </w:trPr>
        <w:tc>
          <w:tcPr>
            <w:tcW w:w="3184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5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  <w:right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7388A754" wp14:textId="0BB9816E">
            <w:pPr>
              <w:pStyle w:val="Default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 w:rsidRPr="2B6074C1" w:rsidR="7B82120C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mgr</w:t>
            </w:r>
            <w:r w:rsidRPr="2B6074C1" w:rsidR="7B82120C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 xml:space="preserve"> Weronika Ignas-Madej</w:t>
            </w:r>
          </w:p>
        </w:tc>
        <w:tc>
          <w:tcPr>
            <w:tcW w:w="3266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:rsidTr="2B6074C1" w14:paraId="7E4FC6EF" wp14:textId="77777777">
        <w:trPr>
          <w:trHeight w:val="276" w:hRule="atLeast"/>
        </w:trPr>
        <w:tc>
          <w:tcPr>
            <w:tcW w:w="3184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E4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D9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FFFFFF" w:themeColor="background1" w:sz="8" w:space="0"/>
            </w:tcBorders>
            <w:shd w:val="clear" w:color="auto" w:fill="E7EAF4"/>
            <w:tcMar/>
            <w:vAlign w:val="center"/>
          </w:tcPr>
          <w:p w:rsidR="7F8C3D36" w:rsidP="2B6074C1" w:rsidRDefault="7F8C3D36" w14:paraId="66BEC278" w14:textId="2EFA45C1">
            <w:pPr>
              <w:pStyle w:val="Default"/>
              <w:widowControl w:val="0"/>
              <w:tabs>
                <w:tab w:val="clear" w:leader="none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pacing w:before="57" w:after="57"/>
              <w:jc w:val="center"/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</w:pPr>
            <w:r w:rsidRPr="2B6074C1" w:rsidR="7F8C3D36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 xml:space="preserve">Zgodnie z przydziałem zajęć </w:t>
            </w:r>
          </w:p>
          <w:p w:rsidR="7F8C3D36" w:rsidP="2B6074C1" w:rsidRDefault="7F8C3D36" w14:paraId="319F0920" w14:textId="271D3AD1">
            <w:pPr>
              <w:pStyle w:val="Default"/>
              <w:widowControl w:val="0"/>
              <w:tabs>
                <w:tab w:val="clear" w:leader="none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pacing w:before="57" w:after="57"/>
              <w:jc w:val="center"/>
            </w:pPr>
            <w:r w:rsidRPr="2B6074C1" w:rsidR="7F8C3D36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2025/2026:</w:t>
            </w:r>
          </w:p>
          <w:p w14:paraId="4327FC2B" wp14:textId="1D51CEEF">
            <w:pPr>
              <w:pStyle w:val="Default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 w:rsidRPr="2B6074C1" w:rsidR="24FC491E">
              <w:rPr>
                <w:rFonts w:ascii="Arial" w:hAnsi="Arial" w:eastAsia="Arial Unicode MS"/>
                <w:sz w:val="20"/>
                <w:szCs w:val="20"/>
                <w:lang w:val="en-US" w:eastAsia="pl-PL" w:bidi="ar-SA"/>
              </w:rPr>
              <w:t>mgr Weronika Ignas-Madej</w:t>
            </w:r>
          </w:p>
        </w:tc>
      </w:tr>
      <w:tr xmlns:wp14="http://schemas.microsoft.com/office/word/2010/wordml" w:rsidTr="2B6074C1" w14:paraId="4B94D5A5" wp14:textId="77777777">
        <w:trPr>
          <w:trHeight w:val="216" w:hRule="atLeast"/>
        </w:trPr>
        <w:tc>
          <w:tcPr>
            <w:tcW w:w="3184" w:type="dxa"/>
            <w:tcBorders>
              <w:top w:val="single" w:color="C0C0C0" w:themeColor="background2" w:themeShade="E6" w:sz="2" w:space="0"/>
              <w:bottom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3DEEC6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tcBorders>
              <w:top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auto"/>
            <w:tcMar/>
            <w:vAlign w:val="center"/>
          </w:tcPr>
          <w:p w14:paraId="3656B9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2B6074C1" w14:paraId="3A45FB00" wp14:textId="77777777">
        <w:trPr>
          <w:trHeight w:val="216" w:hRule="atLeast"/>
        </w:trPr>
        <w:tc>
          <w:tcPr>
            <w:tcW w:w="3184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5" w:type="dxa"/>
            <w:tcBorders>
              <w:top w:val="single" w:color="C0C0C0" w:themeColor="background2" w:themeShade="E6" w:sz="2" w:space="0"/>
              <w:left w:val="single" w:color="C0C0C0" w:themeColor="background2" w:themeShade="E6" w:sz="2" w:space="0"/>
              <w:bottom w:val="single" w:color="C0C0C0" w:themeColor="background2" w:themeShade="E6" w:sz="2" w:space="0"/>
              <w:right w:val="single" w:color="C0C0C0" w:themeColor="background2" w:themeShade="E6" w:sz="2" w:space="0"/>
            </w:tcBorders>
            <w:shd w:val="clear" w:color="auto" w:fill="E7EAF4"/>
            <w:tcMar/>
            <w:vAlign w:val="center"/>
          </w:tcPr>
          <w:p w14:paraId="5FCD5E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3</w:t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31C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3128261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62486C05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0165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center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188016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 xmlns:wp14="http://schemas.microsoft.com/office/word/2010/wordml" w14:paraId="1A12E6F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 xmlns:wp14="http://schemas.microsoft.com/office/word/2010/wordml" w14:paraId="4B99056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4A509E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 xmlns:wp14="http://schemas.microsoft.com/office/word/2010/wordml" w14:paraId="1299C43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39"/>
        <w:gridCol w:w="4968"/>
        <w:gridCol w:w="2208"/>
      </w:tblGrid>
      <w:tr xmlns:wp14="http://schemas.microsoft.com/office/word/2010/wordml" w:rsidTr="77882AF7" w14:paraId="01356D2C" wp14:textId="77777777">
        <w:trPr>
          <w:trHeight w:val="1328" w:hRule="atLeast"/>
        </w:trPr>
        <w:tc>
          <w:tcPr>
            <w:tcW w:w="183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70A427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6AC0F54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7EB703A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77882AF7" w14:paraId="39DFAD50" wp14:textId="77777777">
        <w:trPr>
          <w:trHeight w:val="2648" w:hRule="atLeast"/>
        </w:trPr>
        <w:tc>
          <w:tcPr>
            <w:tcW w:w="1839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638C441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W01, </w:t>
            </w:r>
          </w:p>
          <w:p w14:paraId="28C406F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teorie przekładoznawcze dotyczące tłumaczeń specjalistycznych</w:t>
            </w:r>
          </w:p>
          <w:p w14:paraId="6F3D7A4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W02, </w:t>
            </w:r>
          </w:p>
          <w:p w14:paraId="6C638FD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pojęcia równych dziedzin, zarówno w języku hiszpańskim jak i polskim</w:t>
            </w:r>
          </w:p>
          <w:p w14:paraId="05735E1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706A9A1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źródła, z których może korzystać w procesie przekładu</w:t>
            </w:r>
          </w:p>
          <w:p w14:paraId="3FF2826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  <w:p w14:paraId="3A29D14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262F74AA" wp14:textId="77777777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4D399AB1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de-DE" w:eastAsia="pl-PL" w:bidi="ar-SA"/>
              </w:rPr>
              <w:t>K1_W01</w:t>
            </w:r>
          </w:p>
          <w:p w14:paraId="5CBA545D" wp14:textId="0BD0878B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4D399AB1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W02</w:t>
            </w:r>
          </w:p>
          <w:p w14:paraId="56C10F07" wp14:textId="6D89BCD7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/>
              </w:rPr>
            </w:pPr>
            <w:r w:rsidR="3B7C7858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W03</w:t>
            </w:r>
          </w:p>
          <w:p w14:paraId="4F7FF827" wp14:textId="27164492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 w:rsidR="52246337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/>
                <w:lang w:val="pl-PL" w:eastAsia="pl-PL" w:bidi="ar-SA"/>
              </w:rPr>
              <w:t>W04</w:t>
            </w:r>
          </w:p>
        </w:tc>
      </w:tr>
    </w:tbl>
    <w:p xmlns:wp14="http://schemas.microsoft.com/office/word/2010/wordml" w14:paraId="3461D779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CF2D8B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FB7827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:rsidTr="77882AF7" w14:paraId="16367538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1A0AA4D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45A98D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2C87E1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77882AF7" w14:paraId="1BD5E58A" wp14:textId="77777777">
        <w:trPr>
          <w:trHeight w:val="3355" w:hRule="atLeast"/>
        </w:trPr>
        <w:tc>
          <w:tcPr>
            <w:tcW w:w="185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77C90628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U01 </w:t>
            </w:r>
          </w:p>
          <w:p w14:paraId="37F6CD6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wyszukiwać i analizować informacje z różnych dziedzin, oraz oceniać ich przydatność w określonym kontekście komunikacyjnym (przekładowym)</w:t>
            </w:r>
          </w:p>
          <w:p w14:paraId="301A72B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U02</w:t>
            </w:r>
          </w:p>
          <w:p w14:paraId="5F7EA9D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 w14:paraId="1D567F71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4CE0CACD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 typowych sytuacjach zawodowych student potrafi precyzyjnie i skutecznie komunikować problemy związane z tłumaczeniem, oraz posiada świadomość warsztatu tłumacza</w:t>
            </w:r>
            <w:r>
              <w:rPr>
                <w:rFonts w:ascii="Times Roman" w:hAnsi="Times Roman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6AA36D2C" wp14:textId="39E9242C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23113E0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U01</w:t>
            </w:r>
          </w:p>
          <w:p w14:paraId="14201BA5" wp14:textId="128E09AC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2488F43E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 xml:space="preserve"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 xml:space="preserve">U02</w:t>
            </w:r>
          </w:p>
          <w:p w14:paraId="031D778E" wp14:textId="5051AAE7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5F543BBA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U03</w:t>
            </w:r>
          </w:p>
          <w:p w14:paraId="0562CB0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/>
                <w:kern w:val="0"/>
                <w:lang w:val="pl-PL" w:eastAsia="pl-PL" w:bidi="ar-SA"/>
              </w:rPr>
            </w:r>
          </w:p>
        </w:tc>
      </w:tr>
    </w:tbl>
    <w:p xmlns:wp14="http://schemas.microsoft.com/office/word/2010/wordml" w14:paraId="34CE0A4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EBF3C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D98A12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:rsidTr="77882AF7" w14:paraId="0023D940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themeColor="background1" w:sz="8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C1ECD8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339ACAD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</w:tcPr>
          <w:p w14:paraId="2F8C234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:rsidTr="77882AF7" w14:paraId="1772E135" wp14:textId="77777777">
        <w:trPr>
          <w:trHeight w:val="2428" w:hRule="atLeast"/>
        </w:trPr>
        <w:tc>
          <w:tcPr>
            <w:tcW w:w="185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4AD5F55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K01 </w:t>
            </w:r>
          </w:p>
          <w:p w14:paraId="5B95099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ma świadomość odpowiedzialności związanej z rolą tłumacza jako mediatora językowego i kulturowego</w:t>
            </w:r>
          </w:p>
          <w:p w14:paraId="1E8079F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K02 </w:t>
            </w:r>
          </w:p>
          <w:p w14:paraId="7AB5FBD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potrafi współdziałać i pracować w grupie wielokulturowej, w tym wchodzić w interakcję z partnerami i współpracownikami zagranicznymi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  <w:p w14:paraId="112259C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K03</w:t>
            </w:r>
          </w:p>
          <w:p w14:paraId="2115275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/>
            <w:vAlign w:val="center"/>
          </w:tcPr>
          <w:p w14:paraId="68A41F4C" wp14:textId="2149EAF1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/>
              </w:rPr>
            </w:pPr>
            <w:r w:rsidR="1C98423E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K01</w:t>
            </w:r>
          </w:p>
          <w:p w14:paraId="1850DF5A" wp14:textId="11AA0CAC">
            <w:pPr>
              <w:pStyle w:val="Body"/>
              <w:widowControl w:val="0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 w:rsidR="70752A06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K1_</w:t>
            </w:r>
            <w:r w:rsidR="77882AF7">
              <w:rPr>
                <w:rFonts w:ascii="Arial" w:hAnsi="Arial" w:eastAsia="Arial Unicode MS"/>
                <w:kern w:val="0"/>
                <w:sz w:val="20"/>
                <w:szCs w:val="20"/>
                <w:u w:val="none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997CC1D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10FFD3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B69937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FE9F2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3" w:type="dxa"/>
        <w:jc w:val="left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521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8"/>
        <w:gridCol w:w="255"/>
        <w:gridCol w:w="795"/>
        <w:gridCol w:w="255"/>
      </w:tblGrid>
      <w:tr xmlns:wp14="http://schemas.microsoft.com/office/word/2010/wordml" w14:paraId="68A6B712" wp14:textId="77777777">
        <w:trPr>
          <w:trHeight w:val="287" w:hRule="atLeast"/>
        </w:trPr>
        <w:tc>
          <w:tcPr>
            <w:tcW w:w="9012" w:type="dxa"/>
            <w:gridSpan w:val="14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</w:tabs>
              <w:suppressAutoHyphens w:val="true"/>
              <w:spacing w:before="57" w:after="57" w:line="259" w:lineRule="auto"/>
              <w:ind w:left="45" w:right="137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500" w:hRule="atLeast"/>
        </w:trPr>
        <w:tc>
          <w:tcPr>
            <w:tcW w:w="1521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ascii="Arial" w:hAnsi="Arial" w:eastAsia="Arial" w:cs="Arial"/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0" w:hRule="atLeast"/>
        </w:trPr>
        <w:tc>
          <w:tcPr>
            <w:tcW w:w="1521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52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CDCE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81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K</w:t>
            </w:r>
          </w:p>
        </w:tc>
        <w:tc>
          <w:tcPr>
            <w:tcW w:w="2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B9E25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L</w:t>
            </w:r>
          </w:p>
        </w:tc>
        <w:tc>
          <w:tcPr>
            <w:tcW w:w="25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DE52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S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E562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547A0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E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3CB0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589" w:hRule="atLeast"/>
        </w:trPr>
        <w:tc>
          <w:tcPr>
            <w:tcW w:w="152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0745931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2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537F28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DFB9E2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1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70DF9E5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3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0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38610EB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37805D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63F29E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FEAC4C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 xmlns:wp14="http://schemas.microsoft.com/office/word/2010/wordml" w14:paraId="3B7B4B8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790B50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both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Praca w dużej grupie z nauczycielem: dyskusja moderowana, wspólna analiza tekstów i ocena przekładów. Praca w małych grupach: tłumaczenie tekstów, swobodna dyskusja, burza mózgów, praca z terminologią specjalistyczną. Praca indywidualna: samodzielne tłumaczenie, wyszukiwanie terminologii i informacji.</w:t>
      </w:r>
    </w:p>
    <w:p xmlns:wp14="http://schemas.microsoft.com/office/word/2010/wordml" w14:paraId="3A0FF5F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695922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 xmlns:wp14="http://schemas.microsoft.com/office/word/2010/wordml" w14:paraId="5630AD6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638" w:type="dxa"/>
        <w:jc w:val="left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val="04a0" w:firstRow="1" w:lastRow="0" w:firstColumn="1" w:lastColumn="0" w:noHBand="0" w:noVBand="1"/>
      </w:tblPr>
      <w:tblGrid>
        <w:gridCol w:w="964"/>
        <w:gridCol w:w="670"/>
        <w:gridCol w:w="666"/>
        <w:gridCol w:w="667"/>
        <w:gridCol w:w="668"/>
        <w:gridCol w:w="667"/>
        <w:gridCol w:w="667"/>
        <w:gridCol w:w="667"/>
        <w:gridCol w:w="667"/>
        <w:gridCol w:w="565"/>
        <w:gridCol w:w="773"/>
        <w:gridCol w:w="665"/>
        <w:gridCol w:w="666"/>
        <w:gridCol w:w="665"/>
      </w:tblGrid>
      <w:tr xmlns:wp14="http://schemas.microsoft.com/office/word/2010/wordml" w14:paraId="4D1153E2" wp14:textId="77777777">
        <w:trPr>
          <w:trHeight w:val="2398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182907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n-US" w:eastAsia="pl-PL" w:bidi="ar-SA"/>
              </w:rPr>
              <w:t>learning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Ćwiczenia w szkole</w:t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grupowy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Referat</w:t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pisemny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2D648830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B7A0DE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de-DE" w:eastAsia="pl-PL" w:bidi="ar-SA"/>
              </w:rPr>
              <w:t>W01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BA226A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7AD93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DE4B5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204FF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BF0D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8C9ECA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5E666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29708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62F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2F2C34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80A4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921983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96FEF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2C1ED5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D93E4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W02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4DB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69D0D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CD245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231BE6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6FEB5B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BF0DD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A43DE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1FBD35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D7AA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6D06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FF1C9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072C0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A219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939769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D18F9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38601F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F3CAB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08B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DEB4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9186DCF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476C52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E324A0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D9C6F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B1F511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5F9C3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23141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F3B140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69457E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62C7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4355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96511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F4E37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4FB30F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817EA0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0E7EB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4A8B87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A6542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41E3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2B00A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2C6D79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E183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1F3D11E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E6D0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U03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E11D2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126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E403A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2431C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9E398E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C3086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DFC06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D6CAC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287F2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E93A6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4BA73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B3F2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34F5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88650F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B4020A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7B270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F904C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971CD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1F701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BFD5E1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F4EFE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DDC956D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3EFCA4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F96A72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95CD1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220BB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3CB595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37E4E0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9C8D3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75E05E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FC17F8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4F722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AE48A4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A23E6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4CE464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19ED19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F40D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7A522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07DCDA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50EA2D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DD355C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1A81F0B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717AAFB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EE48E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08EB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2B8E48B1" wp14:textId="77777777">
        <w:trPr>
          <w:trHeight w:val="2648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FFDF770" wp14:textId="77777777">
            <w:pPr>
              <w:pStyle w:val="NormalWeb"/>
              <w:widowControl w:val="false"/>
              <w:spacing w:before="0" w:after="0" w:line="276" w:lineRule="auto"/>
              <w:rPr>
                <w:rFonts w:ascii="Arial" w:hAnsi="Arial" w:eastAsia="Arial Unicode MS" w:cs="Arial Unicode MS"/>
                <w:b w:val="false"/>
                <w:bCs w:val="false"/>
                <w:color w:val="000000"/>
                <w:kern w:val="0"/>
                <w:sz w:val="20"/>
                <w:szCs w:val="20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praca nad przekładem zadanych fragmentów tekstów specjalistycznych i udział w dyskusji (stanowi max 50% całości oceny) oraz przekład wybranego tekstu specjalistycznego,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121FD38A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FE2DD9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735753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6E2CB918" wp14:textId="77777777">
        <w:trPr>
          <w:trHeight w:val="935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57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16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07F023C8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BDB549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5A7BF5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 xmlns:wp14="http://schemas.microsoft.com/office/word/2010/wordml" w14:paraId="7D2DDE0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 xmlns:wp14="http://schemas.microsoft.com/office/word/2010/wordml" w14:paraId="209C589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 xmlns:wp14="http://schemas.microsoft.com/office/word/2010/wordml" w14:paraId="3708D17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zleceń tłumaczeniowych jako szeroko pojętego kontekstu: odbiorcy, nadawcy, miejsca i czasu publikacji. </w:t>
      </w:r>
    </w:p>
    <w:p xmlns:wp14="http://schemas.microsoft.com/office/word/2010/wordml" w14:paraId="3BE353E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 xmlns:wp14="http://schemas.microsoft.com/office/word/2010/wordml" w14:paraId="69181A2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 w:eastAsia="Arial" w:cs="Arial"/>
          <w:sz w:val="24"/>
          <w:szCs w:val="24"/>
          <w:lang w:val="en-US"/>
        </w:rPr>
        <w:t>Specyfika pracy tłumacza przysięgłego</w:t>
      </w:r>
    </w:p>
    <w:p xmlns:wp14="http://schemas.microsoft.com/office/word/2010/wordml" w14:paraId="7B5A5DB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 w:eastAsia="Arial" w:cs="Arial"/>
          <w:sz w:val="24"/>
          <w:szCs w:val="24"/>
          <w:lang w:val="en-US"/>
        </w:rPr>
        <w:t>Tłumaczenia uwierzytelnione</w:t>
      </w:r>
    </w:p>
    <w:p xmlns:wp14="http://schemas.microsoft.com/office/word/2010/wordml" w14:paraId="3AA0AC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 xmlns:wp14="http://schemas.microsoft.com/office/word/2010/wordml" w14:paraId="131C70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Sprawna analiza dłuższych tekstów, ustalanie kolejności zabiegów translatorskich. </w:t>
      </w:r>
    </w:p>
    <w:p xmlns:wp14="http://schemas.microsoft.com/office/word/2010/wordml" w14:paraId="0C3DE8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 xmlns:wp14="http://schemas.microsoft.com/office/word/2010/wordml" w14:paraId="21165E4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  <w:t>Umiejętność pracy w grupie, w tym w zespole tłumaczy oraz fachowc</w:t>
      </w:r>
      <w:r>
        <w:rPr>
          <w:rFonts w:ascii="Arial" w:hAnsi="Arial"/>
          <w:sz w:val="24"/>
          <w:szCs w:val="24"/>
          <w:u w:val="none" w:color="000000"/>
          <w:lang w:val="es-ES_tradnl"/>
        </w:rPr>
        <w:t>ó</w:t>
      </w:r>
      <w:r>
        <w:rPr>
          <w:rFonts w:ascii="Arial" w:hAnsi="Arial"/>
          <w:sz w:val="24"/>
          <w:szCs w:val="24"/>
          <w:u w:val="none" w:color="000000"/>
          <w:lang w:val="en-US"/>
        </w:rPr>
        <w:t>w</w:t>
      </w:r>
    </w:p>
    <w:p xmlns:wp14="http://schemas.microsoft.com/office/word/2010/wordml" w14:paraId="2916C19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49747D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74869460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2D00EA66" wp14:textId="77777777">
        <w:trPr>
          <w:trHeight w:val="240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6C08AF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 w14:paraId="0E1A204A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rnicz, M., Terminologizacja tekst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specjalistycznych. "Języki Specjalistyczne". </w:t>
            </w:r>
          </w:p>
          <w:p w14:paraId="40F8799A" wp14:textId="77777777">
            <w:pPr>
              <w:pStyle w:val="Tretekstu"/>
              <w:widowControl w:val="false"/>
              <w:suppressAutoHyphens w:val="true"/>
              <w:rPr/>
            </w:pPr>
            <w:r>
              <w:rPr>
                <w:rFonts w:ascii="Arial" w:hAnsi="Arial" w:eastAsia="Arial" w:cs="Arial"/>
                <w:i w:val="false"/>
                <w:iCs w:val="false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Praca zbiorowa, </w:t>
            </w:r>
            <w:r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Między oryginałem a przekładem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Vol. 19 No. 3/21 (2013): Tłumaczenie specjalistyczne, Księgarnia Akademicka Kraków, 2013</w:t>
            </w:r>
          </w:p>
          <w:p w14:paraId="3608A7C6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/>
              <w:t>Bazy terminologii online, portale branżowe.</w:t>
            </w:r>
          </w:p>
          <w:p w14:paraId="088C5767" wp14:textId="77777777">
            <w:pPr>
              <w:pStyle w:val="Tretekstu"/>
              <w:widowControl w:val="false"/>
              <w:suppressAutoHyphens w:val="true"/>
              <w:spacing w:before="0" w:after="140" w:line="276" w:lineRule="auto"/>
              <w:rPr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 xmlns:wp14="http://schemas.microsoft.com/office/word/2010/wordml" w14:paraId="187F57B8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4738AF4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46ABBD8F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9EC7B3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06BBA33E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4A6C5E32" wp14:textId="77777777">
        <w:trPr>
          <w:trHeight w:val="48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4AB784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Pisarska, A.; Tomaszkiewicz, T.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Współczesne tendencje przekładoznawcze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Wydaw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ictwo Naukowe UAM, Poznań, 1998</w:t>
            </w:r>
          </w:p>
          <w:p w14:paraId="7CCE40A2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Voellnagel, A.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tekstów technicznych</w:t>
            </w: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Tepis, Warszawa, 199</w:t>
            </w:r>
            <w:r>
              <w:rPr>
                <w:rFonts w:ascii="Liberation Serif" w:hAnsi="Liberation Serif" w:eastAsia="Arial Unicode MS" w:cs="Arial Unicode MS"/>
                <w:b w:val="false"/>
                <w:b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  <w:p w14:paraId="1DECDFE9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Warszawa, 2007</w:t>
            </w:r>
          </w:p>
          <w:p w14:paraId="464FCBC1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/>
                <w:kern w:val="0"/>
                <w:lang w:bidi="ar-SA"/>
              </w:rPr>
            </w:r>
          </w:p>
        </w:tc>
      </w:tr>
    </w:tbl>
    <w:p xmlns:wp14="http://schemas.microsoft.com/office/word/2010/wordml" w14:paraId="5C8C6B09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3382A3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C71F13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CCFC7CA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 xmlns:wp14="http://schemas.microsoft.com/office/word/2010/wordml" w14:paraId="621994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9"/>
        <w:gridCol w:w="5409"/>
        <w:gridCol w:w="1007"/>
      </w:tblGrid>
      <w:tr xmlns:wp14="http://schemas.microsoft.com/office/word/2010/wordml" w14:paraId="67E8A7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w kontakcie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Wykład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DA123B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A290288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EA3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D29A71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0DA321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30</w:t>
            </w:r>
          </w:p>
        </w:tc>
      </w:tr>
      <w:tr xmlns:wp14="http://schemas.microsoft.com/office/word/2010/wordml" w14:paraId="64711803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567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D36975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7905F6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008699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46DE71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21DF01D2" wp14:textId="77777777">
        <w:trPr>
          <w:trHeight w:val="890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F85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61B59D1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ą przedmiotu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55DF11DC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0E24D7D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2A4FFC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54E23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do egzaminu/zaliczenia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vAlign w:val="center"/>
          </w:tcPr>
          <w:p w14:paraId="67C0C65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0A185A1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Ogółem bilans czasu pracy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5AA05B6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90</w:t>
            </w:r>
          </w:p>
        </w:tc>
      </w:tr>
      <w:tr xmlns:wp14="http://schemas.microsoft.com/office/word/2010/wordml" w14:paraId="51F8EEA8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77815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</w:t>
            </w:r>
          </w:p>
        </w:tc>
      </w:tr>
    </w:tbl>
    <w:p xmlns:wp14="http://schemas.microsoft.com/office/word/2010/wordml" w14:paraId="308D56CC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797E50C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 w:orient="portrait"/>
      <w:pgMar w:top="1134" w:right="1134" w:bottom="1134" w:left="1134" w:header="709" w:footer="85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68C698B" wp14:textId="77777777"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B04FA47" wp14:textId="77777777">
    <w:pPr>
      <w:pStyle w:val="Normal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trackRevisions w:val="false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467C44"/>
    <w:rsid w:val="1C98423E"/>
    <w:rsid w:val="23113E06"/>
    <w:rsid w:val="2488F43E"/>
    <w:rsid w:val="24FC491E"/>
    <w:rsid w:val="2B6074C1"/>
    <w:rsid w:val="3B7C7858"/>
    <w:rsid w:val="4D399AB1"/>
    <w:rsid w:val="52246337"/>
    <w:rsid w:val="5F543BBA"/>
    <w:rsid w:val="6B467C44"/>
    <w:rsid w:val="70752A06"/>
    <w:rsid w:val="77882AF7"/>
    <w:rsid w:val="7B82120C"/>
    <w:rsid w:val="7F8C3D36"/>
  </w:rsids>
  <w:themeFontLang w:val="pl-PL" w:eastAsia="" w:bidi=""/>
  <w14:docId w14:val="0E9ADF89"/>
  <w15:docId w15:val="{8EE9575D-6D74-4DB8-B69B-FD19E2617D17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Arial Unicode MS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rPr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" w:customStyle="1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tru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Relationship Type="http://schemas.openxmlformats.org/officeDocument/2006/relationships/customXml" Target="../customXml/item2.xml" Id="rId8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0DAF374-87D7-48A3-9C7A-5D31C728F3D4}"/>
</file>

<file path=customXml/itemProps2.xml><?xml version="1.0" encoding="utf-8"?>
<ds:datastoreItem xmlns:ds="http://schemas.openxmlformats.org/officeDocument/2006/customXml" ds:itemID="{0FC83BB6-18B8-403F-817F-4331C3B73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697D-6BC2-439F-A1A1-597788EE1F34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0e670063-9e8b-4925-893f-bc4a92d930d1"/>
    <ds:schemaRef ds:uri="http://schemas.microsoft.com/office/infopath/2007/PartnerControls"/>
    <ds:schemaRef ds:uri="http://schemas.openxmlformats.org/package/2006/metadata/core-properties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Marcin</dc:creator>
  <dc:description/>
  <lastModifiedBy>Renata Czop</lastModifiedBy>
  <revision>13</revision>
  <dcterms:created xsi:type="dcterms:W3CDTF">2024-11-13T21:49:00.0000000Z</dcterms:created>
  <dcterms:modified xsi:type="dcterms:W3CDTF">2025-11-05T12:47:57.1966293Z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